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CA2" w:rsidRDefault="006F1CA2" w:rsidP="006F1CA2">
      <w:pPr>
        <w:pStyle w:val="Title"/>
        <w:jc w:val="center"/>
      </w:pPr>
      <w:r>
        <w:rPr>
          <w:rFonts w:hint="eastAsia"/>
        </w:rPr>
        <w:t>戴晴新書發佈</w:t>
      </w:r>
    </w:p>
    <w:p w:rsidR="006F1CA2" w:rsidRDefault="006F1CA2" w:rsidP="006F1CA2"/>
    <w:p w:rsidR="006F1CA2" w:rsidRDefault="006F1CA2" w:rsidP="006F1CA2">
      <w:pPr>
        <w:rPr>
          <w:b/>
        </w:rPr>
      </w:pPr>
      <w:r>
        <w:rPr>
          <w:rFonts w:hint="eastAsia"/>
          <w:b/>
        </w:rPr>
        <w:t>書名：《鄧小平在</w:t>
      </w:r>
      <w:r>
        <w:rPr>
          <w:rFonts w:hint="eastAsia"/>
          <w:b/>
        </w:rPr>
        <w:t>1989</w:t>
      </w:r>
      <w:r>
        <w:rPr>
          <w:rFonts w:hint="eastAsia"/>
          <w:b/>
        </w:rPr>
        <w:t>》</w:t>
      </w:r>
    </w:p>
    <w:p w:rsidR="006F1CA2" w:rsidRDefault="006F1CA2" w:rsidP="006F1CA2">
      <w:pPr>
        <w:rPr>
          <w:b/>
        </w:rPr>
      </w:pPr>
      <w:r>
        <w:rPr>
          <w:rFonts w:hint="eastAsia"/>
          <w:b/>
        </w:rPr>
        <w:t>作者：</w:t>
      </w:r>
      <w:r>
        <w:rPr>
          <w:b/>
        </w:rPr>
        <w:tab/>
      </w:r>
      <w:r>
        <w:rPr>
          <w:rFonts w:hint="eastAsia"/>
          <w:b/>
        </w:rPr>
        <w:t>戴晴</w:t>
      </w:r>
    </w:p>
    <w:p w:rsidR="006F1CA2" w:rsidRDefault="006F1CA2" w:rsidP="006F1CA2">
      <w:pPr>
        <w:rPr>
          <w:b/>
        </w:rPr>
      </w:pPr>
      <w:r>
        <w:rPr>
          <w:rFonts w:hint="eastAsia"/>
          <w:b/>
        </w:rPr>
        <w:t>出版社：</w:t>
      </w:r>
      <w:r>
        <w:rPr>
          <w:rFonts w:hint="eastAsia"/>
          <w:b/>
        </w:rPr>
        <w:t xml:space="preserve"> </w:t>
      </w:r>
      <w:r>
        <w:rPr>
          <w:rFonts w:hint="eastAsia"/>
          <w:b/>
        </w:rPr>
        <w:t>新世紀出版及傳媒有限公司</w:t>
      </w:r>
    </w:p>
    <w:p w:rsidR="006F1CA2" w:rsidRDefault="006F1CA2" w:rsidP="006F1CA2">
      <w:pPr>
        <w:rPr>
          <w:b/>
        </w:rPr>
      </w:pPr>
      <w:r>
        <w:rPr>
          <w:rFonts w:hint="eastAsia"/>
          <w:b/>
        </w:rPr>
        <w:t>出版日期：</w:t>
      </w:r>
      <w:r>
        <w:rPr>
          <w:rFonts w:hint="eastAsia"/>
          <w:b/>
        </w:rPr>
        <w:t>2019</w:t>
      </w:r>
      <w:r>
        <w:rPr>
          <w:rFonts w:hint="eastAsia"/>
          <w:b/>
        </w:rPr>
        <w:t>年</w:t>
      </w:r>
      <w:r>
        <w:rPr>
          <w:rFonts w:hint="eastAsia"/>
          <w:b/>
        </w:rPr>
        <w:t>5</w:t>
      </w:r>
      <w:r>
        <w:rPr>
          <w:rFonts w:hint="eastAsia"/>
          <w:b/>
        </w:rPr>
        <w:t>月</w:t>
      </w:r>
      <w:r>
        <w:rPr>
          <w:rFonts w:hint="eastAsia"/>
          <w:b/>
        </w:rPr>
        <w:t>31</w:t>
      </w:r>
      <w:r>
        <w:rPr>
          <w:rFonts w:hint="eastAsia"/>
          <w:b/>
        </w:rPr>
        <w:t>日</w:t>
      </w:r>
    </w:p>
    <w:p w:rsidR="006F1CA2" w:rsidRDefault="006F1CA2" w:rsidP="006F1CA2">
      <w:r>
        <w:rPr>
          <w:rFonts w:hint="eastAsia"/>
        </w:rPr>
        <w:t>國際統一書號：</w:t>
      </w:r>
      <w:r>
        <w:rPr>
          <w:rFonts w:hint="eastAsia"/>
        </w:rPr>
        <w:t xml:space="preserve"> 978-988-13296-3-9</w:t>
      </w:r>
    </w:p>
    <w:p w:rsidR="006F1CA2" w:rsidRDefault="006F1CA2" w:rsidP="006F1CA2">
      <w:r>
        <w:rPr>
          <w:rFonts w:hint="eastAsia"/>
        </w:rPr>
        <w:t>定價：</w:t>
      </w:r>
      <w:r>
        <w:rPr>
          <w:rFonts w:hint="eastAsia"/>
        </w:rPr>
        <w:t xml:space="preserve"> </w:t>
      </w:r>
      <w:r>
        <w:rPr>
          <w:rFonts w:hint="eastAsia"/>
        </w:rPr>
        <w:t>港幣</w:t>
      </w:r>
      <w:r>
        <w:rPr>
          <w:rFonts w:hint="eastAsia"/>
        </w:rPr>
        <w:t xml:space="preserve"> 148 </w:t>
      </w:r>
      <w:r>
        <w:rPr>
          <w:rFonts w:hint="eastAsia"/>
        </w:rPr>
        <w:t>圓</w:t>
      </w:r>
    </w:p>
    <w:p w:rsidR="006F1CA2" w:rsidRDefault="006F1CA2" w:rsidP="006F1CA2"/>
    <w:p w:rsidR="006F1CA2" w:rsidRDefault="006F1CA2" w:rsidP="006F1CA2">
      <w:r>
        <w:rPr>
          <w:rFonts w:hint="eastAsia"/>
        </w:rPr>
        <w:t>田園發行聯絡人</w:t>
      </w:r>
      <w:r>
        <w:rPr>
          <w:rFonts w:hint="eastAsia"/>
        </w:rPr>
        <w:t xml:space="preserve">: </w:t>
      </w:r>
      <w:r>
        <w:rPr>
          <w:rFonts w:hint="eastAsia"/>
        </w:rPr>
        <w:t>張小姐</w:t>
      </w:r>
      <w:r>
        <w:rPr>
          <w:rFonts w:hint="eastAsia"/>
        </w:rPr>
        <w:t xml:space="preserve"> </w:t>
      </w:r>
    </w:p>
    <w:p w:rsidR="006F1CA2" w:rsidRDefault="006F1CA2" w:rsidP="006F1CA2">
      <w:r>
        <w:rPr>
          <w:rFonts w:hint="eastAsia"/>
        </w:rPr>
        <w:t>電話</w:t>
      </w:r>
      <w:r>
        <w:rPr>
          <w:rFonts w:hint="eastAsia"/>
        </w:rPr>
        <w:t>: +(852) 2394 8863</w:t>
      </w:r>
    </w:p>
    <w:p w:rsidR="006F1CA2" w:rsidRDefault="006F1CA2" w:rsidP="006F1CA2">
      <w:hyperlink r:id="rId5" w:history="1">
        <w:r>
          <w:rPr>
            <w:rStyle w:val="Hyperlink"/>
          </w:rPr>
          <w:t>gfbook@netvigator.com</w:t>
        </w:r>
      </w:hyperlink>
    </w:p>
    <w:p w:rsidR="006F1CA2" w:rsidRDefault="006F1CA2" w:rsidP="006F1CA2"/>
    <w:p w:rsidR="006F1CA2" w:rsidRDefault="006F1CA2" w:rsidP="006F1CA2">
      <w:r>
        <w:rPr>
          <w:rFonts w:hint="eastAsia"/>
        </w:rPr>
        <w:t>作爲</w:t>
      </w:r>
      <w:r>
        <w:rPr>
          <w:rFonts w:hint="eastAsia"/>
        </w:rPr>
        <w:t>1989</w:t>
      </w:r>
      <w:r>
        <w:rPr>
          <w:rFonts w:hint="eastAsia"/>
        </w:rPr>
        <w:t>年“六四”事件的親歷者和一個調查記者，本書作者戴晴，根據迄今所能獲得的可信材料，以及對當事人的大量採訪，寫就成《鄧小平在</w:t>
      </w:r>
      <w:r>
        <w:rPr>
          <w:rFonts w:hint="eastAsia"/>
        </w:rPr>
        <w:t>1989</w:t>
      </w:r>
      <w:r>
        <w:rPr>
          <w:rFonts w:hint="eastAsia"/>
        </w:rPr>
        <w:t>》這部回顧性紀實作品。</w:t>
      </w:r>
    </w:p>
    <w:p w:rsidR="006F1CA2" w:rsidRDefault="006F1CA2" w:rsidP="006F1CA2">
      <w:r>
        <w:rPr>
          <w:rFonts w:hint="eastAsia"/>
        </w:rPr>
        <w:t>逻辑与常识交叉印证史料及傳聞，使用新的綫索，不再以学运为主线，不再如</w:t>
      </w:r>
      <w:r>
        <w:rPr>
          <w:rFonts w:hint="eastAsia"/>
        </w:rPr>
        <w:t>30</w:t>
      </w:r>
      <w:r>
        <w:rPr>
          <w:rFonts w:hint="eastAsia"/>
        </w:rPr>
        <w:t>年来大都数评述使用“专制對民主”、“</w:t>
      </w:r>
      <w:r>
        <w:rPr>
          <w:rFonts w:hint="eastAsia"/>
        </w:rPr>
        <w:t xml:space="preserve"> </w:t>
      </w:r>
      <w:r>
        <w:rPr>
          <w:rFonts w:hint="eastAsia"/>
        </w:rPr>
        <w:t>当局對学生”等非黑即白的模式。</w:t>
      </w:r>
    </w:p>
    <w:p w:rsidR="006F1CA2" w:rsidRDefault="006F1CA2" w:rsidP="006F1CA2">
      <w:r>
        <w:rPr>
          <w:rFonts w:hint="eastAsia"/>
        </w:rPr>
        <w:t>《鄧小平在</w:t>
      </w:r>
      <w:r>
        <w:rPr>
          <w:rFonts w:hint="eastAsia"/>
        </w:rPr>
        <w:t>1989</w:t>
      </w:r>
      <w:r>
        <w:rPr>
          <w:rFonts w:hint="eastAsia"/>
        </w:rPr>
        <w:t>》將視野拓展到</w:t>
      </w:r>
      <w:r>
        <w:rPr>
          <w:rFonts w:hint="eastAsia"/>
        </w:rPr>
        <w:t>1989</w:t>
      </w:r>
      <w:r>
        <w:rPr>
          <w:rFonts w:hint="eastAsia"/>
        </w:rPr>
        <w:t>年之前至</w:t>
      </w:r>
      <w:r>
        <w:rPr>
          <w:rFonts w:hint="eastAsia"/>
        </w:rPr>
        <w:t>1992</w:t>
      </w:r>
      <w:r>
        <w:rPr>
          <w:rFonts w:hint="eastAsia"/>
        </w:rPr>
        <w:t>年南巡，試圖在更長時段中理解鄧小平、趙紫陽、李鵬、陳雲等人的行為和邏輯；涵蓋從左至右意識形態光譜中的各類人群，在更大圖景和更複雜維度中考察“六四”；並通過這場現代化轉型的悲劇，展現紅色中國的本質。</w:t>
      </w:r>
    </w:p>
    <w:p w:rsidR="006F1CA2" w:rsidRDefault="006F1CA2" w:rsidP="006F1CA2"/>
    <w:p w:rsidR="006F1CA2" w:rsidRDefault="006F1CA2" w:rsidP="006F1CA2">
      <w:pPr>
        <w:rPr>
          <w:b/>
        </w:rPr>
      </w:pPr>
      <w:r>
        <w:rPr>
          <w:rFonts w:hint="eastAsia"/>
          <w:b/>
        </w:rPr>
        <w:t>本書中關於“六四”事件的新爆料</w:t>
      </w:r>
    </w:p>
    <w:p w:rsidR="006F1CA2" w:rsidRDefault="006F1CA2" w:rsidP="006F1CA2">
      <w:pPr>
        <w:pStyle w:val="ListParagraph1"/>
        <w:numPr>
          <w:ilvl w:val="0"/>
          <w:numId w:val="1"/>
        </w:numPr>
        <w:ind w:firstLineChars="0"/>
      </w:pPr>
      <w:r>
        <w:rPr>
          <w:rFonts w:hint="eastAsia"/>
        </w:rPr>
        <w:t>七位上将反对镇压的信，從提議到送交軍委的全過程</w:t>
      </w:r>
      <w:r>
        <w:rPr>
          <w:rFonts w:hint="eastAsia"/>
        </w:rPr>
        <w:t xml:space="preserve"> </w:t>
      </w:r>
    </w:p>
    <w:p w:rsidR="006F1CA2" w:rsidRDefault="006F1CA2" w:rsidP="006F1CA2">
      <w:pPr>
        <w:pStyle w:val="ListParagraph1"/>
        <w:numPr>
          <w:ilvl w:val="0"/>
          <w:numId w:val="1"/>
        </w:numPr>
        <w:ind w:firstLineChars="0"/>
      </w:pPr>
      <w:r>
        <w:rPr>
          <w:rFonts w:hint="eastAsia"/>
        </w:rPr>
        <w:t>坦克人現場目擊者敘述</w:t>
      </w:r>
    </w:p>
    <w:p w:rsidR="006F1CA2" w:rsidRDefault="006F1CA2" w:rsidP="006F1CA2">
      <w:pPr>
        <w:pStyle w:val="ListParagraph1"/>
        <w:numPr>
          <w:ilvl w:val="0"/>
          <w:numId w:val="1"/>
        </w:numPr>
        <w:ind w:firstLineChars="0"/>
      </w:pPr>
      <w:r>
        <w:rPr>
          <w:rFonts w:hint="eastAsia"/>
        </w:rPr>
        <w:t>軍人們的親歷</w:t>
      </w:r>
    </w:p>
    <w:p w:rsidR="006F1CA2" w:rsidRDefault="006F1CA2" w:rsidP="006F1CA2">
      <w:pPr>
        <w:pStyle w:val="ListParagraph1"/>
        <w:numPr>
          <w:ilvl w:val="0"/>
          <w:numId w:val="1"/>
        </w:numPr>
        <w:ind w:firstLineChars="0"/>
      </w:pPr>
      <w:r>
        <w:rPr>
          <w:rFonts w:hint="eastAsia"/>
        </w:rPr>
        <w:t>1898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</w:t>
      </w:r>
      <w:r>
        <w:rPr>
          <w:rFonts w:hint="eastAsia"/>
        </w:rPr>
        <w:t>3</w:t>
      </w:r>
      <w:r>
        <w:rPr>
          <w:rFonts w:hint="eastAsia"/>
        </w:rPr>
        <w:t>日李先念獲知趙的「亞銀講話」内情</w:t>
      </w:r>
    </w:p>
    <w:p w:rsidR="006F1CA2" w:rsidRDefault="006F1CA2" w:rsidP="006F1CA2">
      <w:pPr>
        <w:pStyle w:val="ListParagraph1"/>
        <w:numPr>
          <w:ilvl w:val="0"/>
          <w:numId w:val="1"/>
        </w:numPr>
        <w:ind w:firstLineChars="0"/>
      </w:pPr>
      <w:r>
        <w:rPr>
          <w:rFonts w:hint="eastAsia"/>
        </w:rPr>
        <w:t>陳雲、李先念等元老撇清同鎮壓的關係</w:t>
      </w:r>
    </w:p>
    <w:p w:rsidR="006F1CA2" w:rsidRDefault="006F1CA2" w:rsidP="006F1CA2">
      <w:pPr>
        <w:pStyle w:val="ListParagraph1"/>
        <w:numPr>
          <w:ilvl w:val="0"/>
          <w:numId w:val="1"/>
        </w:numPr>
        <w:ind w:firstLineChars="0"/>
      </w:pPr>
      <w:r>
        <w:rPr>
          <w:rFonts w:hint="eastAsia"/>
        </w:rPr>
        <w:t>「鎮暴」之後，國防大學「戒嚴幹部培訓班」</w:t>
      </w:r>
    </w:p>
    <w:p w:rsidR="00A72BD5" w:rsidRDefault="00A72BD5">
      <w:bookmarkStart w:id="0" w:name="_GoBack"/>
      <w:bookmarkEnd w:id="0"/>
    </w:p>
    <w:sectPr w:rsidR="00A72BD5">
      <w:pgSz w:w="12240" w:h="15840"/>
      <w:pgMar w:top="1440" w:right="1800" w:bottom="1440" w:left="18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D42CD1"/>
    <w:multiLevelType w:val="multilevel"/>
    <w:tmpl w:val="14D42CD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CA2"/>
    <w:rsid w:val="006F1CA2"/>
    <w:rsid w:val="00A72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247286-5668-4EAC-85AF-D275A2DFF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1CA2"/>
    <w:rPr>
      <w:rFonts w:ascii="Calibri" w:eastAsia="SimSun" w:hAnsi="Calibri" w:cs="Times New Roman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F1CA2"/>
    <w:pPr>
      <w:spacing w:after="0" w:line="240" w:lineRule="auto"/>
      <w:contextualSpacing/>
    </w:pPr>
    <w:rPr>
      <w:rFonts w:ascii="Calibri Light" w:hAnsi="Calibri Light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qFormat/>
    <w:rsid w:val="006F1CA2"/>
    <w:rPr>
      <w:rFonts w:ascii="Calibri Light" w:eastAsia="SimSun" w:hAnsi="Calibri Light" w:cs="Times New Roman"/>
      <w:spacing w:val="-10"/>
      <w:kern w:val="28"/>
      <w:sz w:val="56"/>
      <w:szCs w:val="56"/>
      <w:lang w:val="en-US" w:eastAsia="zh-CN"/>
    </w:rPr>
  </w:style>
  <w:style w:type="character" w:styleId="Hyperlink">
    <w:name w:val="Hyperlink"/>
    <w:basedOn w:val="DefaultParagraphFont"/>
    <w:uiPriority w:val="99"/>
    <w:unhideWhenUsed/>
    <w:qFormat/>
    <w:rsid w:val="006F1CA2"/>
    <w:rPr>
      <w:color w:val="0563C1"/>
      <w:u w:val="single"/>
    </w:rPr>
  </w:style>
  <w:style w:type="paragraph" w:customStyle="1" w:styleId="ListParagraph1">
    <w:name w:val="List Paragraph1"/>
    <w:basedOn w:val="Normal"/>
    <w:uiPriority w:val="34"/>
    <w:qFormat/>
    <w:rsid w:val="006F1CA2"/>
    <w:pPr>
      <w:spacing w:after="0" w:line="0" w:lineRule="atLeast"/>
      <w:ind w:firstLineChars="200" w:firstLine="420"/>
      <w:jc w:val="both"/>
    </w:pPr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gfbook@netvigator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l1</dc:creator>
  <cp:keywords/>
  <dc:description/>
  <cp:lastModifiedBy>l1</cp:lastModifiedBy>
  <cp:revision>1</cp:revision>
  <dcterms:created xsi:type="dcterms:W3CDTF">2019-06-05T16:01:00Z</dcterms:created>
  <dcterms:modified xsi:type="dcterms:W3CDTF">2019-06-05T16:21:00Z</dcterms:modified>
</cp:coreProperties>
</file>